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default" w:ascii="Times New Roman" w:hAnsi="Times New Roman" w:cs="Times New Roman"/>
          <w:i w:val="0"/>
          <w:iCs w:val="0"/>
          <w:caps w:val="0"/>
          <w:color w:val="000000"/>
          <w:spacing w:val="0"/>
          <w:sz w:val="21"/>
          <w:szCs w:val="21"/>
        </w:rPr>
      </w:pPr>
      <w:bookmarkStart w:id="0" w:name="_GoBack"/>
      <w:r>
        <w:rPr>
          <w:rFonts w:ascii="方正小标宋简体" w:hAnsi="方正小标宋简体" w:eastAsia="方正小标宋简体" w:cs="方正小标宋简体"/>
          <w:i w:val="0"/>
          <w:iCs w:val="0"/>
          <w:caps w:val="0"/>
          <w:color w:val="000000"/>
          <w:spacing w:val="0"/>
          <w:kern w:val="0"/>
          <w:sz w:val="36"/>
          <w:szCs w:val="36"/>
          <w:bdr w:val="none" w:color="auto" w:sz="0" w:space="0"/>
          <w:shd w:val="clear" w:fill="FFFFFF"/>
          <w:lang w:val="en-US" w:eastAsia="zh-CN" w:bidi="ar"/>
        </w:rPr>
        <w:t>2023年安徽省大学生微电影大赛赛项规程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一、赛项名称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赛项名称：安徽省大学生微电影大赛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英语翻译：Anhui University students Micro Film Competition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赛项组别：高校组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二、竞赛组织机构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主办单位</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：安徽省教育厅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承办单位</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：安徽财经大学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协办单位</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：安徽省普通本科高校戏剧与影视学类专业合作委员会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安徽省普通本科高校戏剧与影视学类动画专业分委会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技术支持：</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羚羊工业互联网平台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（二）组织委员会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主  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储常连  安徽省教育厅副厅长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副主任：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高  原   安徽省教育厅高教处副处长（主持工作）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周加来   安徽财经大学副校长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委  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朱永国  安徽省教育厅高教处副处长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何  村  安徽省普通本科高校戏剧与影视学类专业委员会副主任委员、教授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李  超  安徽财经大学党委宣传部部长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廖信林  安徽财经大学教务处副处长（主持工作）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刘晓光  安徽财经大学艺术学院党委书记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（三）专家委员会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主  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尹  鸿  清华大学教授、中国电影家协会副主席、中国文艺评论家协会副主席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委  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96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蒋  超  安徽省微电影协会秘书长、国家一级导演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96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陈吉德  南京师范大学教授、博导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96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李超峰  巢湖学院美术与设计学院副院长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96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16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（四）仲裁委员会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87"/>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主  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84"/>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谢贵勇  安徽财经大学纪委副书记兼纪委办公室主任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87"/>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成  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谢清风  中国好创意暨全国数字艺术设计大赛组委会秘书长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96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朱旭辉  天津工业大学教授、硕导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87"/>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（五）秘书处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32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秘书处设在安徽财经大学艺术学院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321"/>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大赛秘书长：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2" w:right="0" w:firstLine="32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许心宏  安徽财经大学艺术学院副院长（主持工作）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   秘  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李温馨  安徽财经大学艺术学院教学办秘书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三、竞赛目的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本项大赛旨在激发广播电视编导专业、戏剧影视文学专业、表导演专业、动画专业、设计专业、美术专业、新闻专业、网络与新媒体专业及相关专业学生的实践能力和创新能力，培养团队协作意识，进一步丰富校园文化生活，营造积极向上、百花齐放、格调高雅、健康文明的文化氛围，同时为学生提供一个锻炼自己的机会和展现自我的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四、竞赛主题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新起点，新目标；新征程，新篇章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五、竞赛方案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96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（一）组织形式：学校组织发动，并集体提交。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96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（二）参赛对象：安徽省所有高等院校正式注册的在校学生（专科生、本科生和研究生）均可参赛。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  （三）</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参赛作品类型：故事片、纪录片、动画片、影视评论、影视文学剧本。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六、竞赛方式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以作品为参赛依据，以学校为单位，团体参赛。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七、竞赛流程</w:t>
      </w:r>
    </w:p>
    <w:tbl>
      <w:tblPr>
        <w:tblW w:w="94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136"/>
        <w:gridCol w:w="2092"/>
        <w:gridCol w:w="51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4" w:hRule="atLeast"/>
        </w:trPr>
        <w:tc>
          <w:tcPr>
            <w:tcW w:w="1893" w:type="dxa"/>
            <w:tcBorders>
              <w:top w:val="single" w:color="auto" w:sz="8" w:space="0"/>
              <w:left w:val="single" w:color="auto" w:sz="8" w:space="0"/>
              <w:bottom w:val="single" w:color="auto" w:sz="8" w:space="0"/>
              <w:right w:val="single" w:color="auto" w:sz="8" w:space="0"/>
            </w:tcBorders>
            <w:shd w:val="clear" w:color="auto" w:fill="D7D7D7"/>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lang w:val="en-US" w:eastAsia="zh-CN" w:bidi="ar"/>
              </w:rPr>
              <w:t>时  间</w:t>
            </w:r>
          </w:p>
        </w:tc>
        <w:tc>
          <w:tcPr>
            <w:tcW w:w="2227" w:type="dxa"/>
            <w:tcBorders>
              <w:top w:val="single" w:color="auto" w:sz="8" w:space="0"/>
              <w:left w:val="nil"/>
              <w:bottom w:val="single" w:color="auto" w:sz="8" w:space="0"/>
              <w:right w:val="single" w:color="auto" w:sz="8" w:space="0"/>
            </w:tcBorders>
            <w:shd w:val="clear" w:color="auto" w:fill="D7D7D7"/>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lang w:val="en-US" w:eastAsia="zh-CN" w:bidi="ar"/>
              </w:rPr>
              <w:t>项  目</w:t>
            </w:r>
          </w:p>
        </w:tc>
        <w:tc>
          <w:tcPr>
            <w:tcW w:w="5280" w:type="dxa"/>
            <w:tcBorders>
              <w:top w:val="single" w:color="auto" w:sz="8" w:space="0"/>
              <w:left w:val="nil"/>
              <w:bottom w:val="single" w:color="auto" w:sz="8" w:space="0"/>
              <w:right w:val="single" w:color="auto" w:sz="8" w:space="0"/>
            </w:tcBorders>
            <w:shd w:val="clear" w:color="auto" w:fill="D7D7D7"/>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lang w:val="en-US" w:eastAsia="zh-CN" w:bidi="ar"/>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3" w:hRule="atLeast"/>
        </w:trPr>
        <w:tc>
          <w:tcPr>
            <w:tcW w:w="18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6.1—10.23</w:t>
            </w:r>
          </w:p>
        </w:tc>
        <w:tc>
          <w:tcPr>
            <w:tcW w:w="22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作品拍摄上传</w:t>
            </w:r>
          </w:p>
        </w:tc>
        <w:tc>
          <w:tcPr>
            <w:tcW w:w="5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各高校组织学生进行微电影作品创作，独立筛选优秀作品，并将优秀作品以学校为单位统一发送至安徽省大学生微电影大赛指定官方邮箱（ahswdyds2023@163.com）。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1" w:hRule="atLeast"/>
        </w:trPr>
        <w:tc>
          <w:tcPr>
            <w:tcW w:w="18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10.25—11.08</w:t>
            </w:r>
          </w:p>
        </w:tc>
        <w:tc>
          <w:tcPr>
            <w:tcW w:w="22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专家评委评审，作品评选</w:t>
            </w:r>
          </w:p>
        </w:tc>
        <w:tc>
          <w:tcPr>
            <w:tcW w:w="5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由专家组按照评分细则进行打分，选出入围暨获奖作品，并公示。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9" w:hRule="atLeast"/>
        </w:trPr>
        <w:tc>
          <w:tcPr>
            <w:tcW w:w="18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11.17</w:t>
            </w:r>
          </w:p>
        </w:tc>
        <w:tc>
          <w:tcPr>
            <w:tcW w:w="22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微电影大赛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颁奖仪式</w:t>
            </w:r>
          </w:p>
        </w:tc>
        <w:tc>
          <w:tcPr>
            <w:tcW w:w="5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所有获奖人员及嘉宾到指定地点，参加颁奖仪式，现场公布奖项名单。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4" w:hRule="atLeast"/>
        </w:trPr>
        <w:tc>
          <w:tcPr>
            <w:tcW w:w="18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11.18-12.30</w:t>
            </w:r>
          </w:p>
        </w:tc>
        <w:tc>
          <w:tcPr>
            <w:tcW w:w="22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网络展播</w:t>
            </w:r>
          </w:p>
        </w:tc>
        <w:tc>
          <w:tcPr>
            <w:tcW w:w="5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借助微电影节官方平台或其他合作媒体进行网络展播。</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八、竞赛规则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（一）报名资格：安徽省所有高等院校全日制在校学生（专科生、本科生和研究生），专业不限。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1、只接受团体参赛，每组参赛队伍限5名成员，每位参赛选手每组类不限参加数量。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2、每组参赛队伍必须配有指导教师，且指导教师人数不得超过三人。为保证竞赛公正公平，竞赛组委会、专家委员会、仲裁委员会、秘书处成员及竞赛相关工作人员不得作为参赛指导教师。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3、每校参赛作品总数原则上不得超过30件。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（二）报名要求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参赛者保证其对参赛作品的著作权，且参赛作品中使用的音乐或其他作品已取得合法授权。参赛作品不涉及侵犯他人肖像权、名誉权、隐私权、著作权、商标权等情形，如因前述权利产生纠纷的，参赛者自行进行处理，由此产生的全部法律责任，一律由参赛者自行承担，组委会拒绝任何可能与国家法律和文化政策相悖的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所有个人参赛的作品一经提交，即视为授予组委会在2023年度安徽省大学生微电影节活动期间展映环节的无偿播放权，同意组委会将参赛作品的视频、静帧图像、中/英文字幕拷贝版、宣传片花等用于本次微电影节的宣传活动及之后的相关展映活动，包括被新闻媒体报道、播出、制作宣传图册、书籍专刊、电视、网络、移动媒体及其它新媒体专题宣传展映专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3、所有参赛作品著作权均为参赛者所有，参赛者需同意组委会或其指定单位对其参赛作品的无偿使用权。对于评选后的获奖作品，组委会或其指定单位独家享有播放、出版、复制发行、信息网络传播、汇编、改编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4、凡提交作品参赛，即表示参赛者同意接受组委会制定的所有参赛细则。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5、作品必须在10月23日之前成功发送邮箱。参赛者一旦提交参赛申请，即不得以任何理由撤回。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6、所有参赛作品概不退还，请参赛者投寄前自行备份。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7、参赛者无须支付任何报名费用。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8、参赛者提交的所有信息必须真实合法，否则组委会有权取消其参赛资格并追回表彰。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9、大赛期间，参赛作品授权予第三方使用已有授权的合作方除外，如因参赛作品使用主体、范围、方式等产生冲突，由参赛者本人负责处理并承担全部责任。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10、往届安徽省大学生微电影大赛已获奖作品不得重复报名参赛。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（三）成绩公布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大赛获奖名单经竞赛组委会网站公示无异议后上报安徽省大学生创新创业教育办公室，并在安徽省高教网再次进行公示。无异议后，由安徽省教育厅公布获奖名单。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九、竞赛环境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（一）竞赛评选场地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安徽财经大学科普曼活动中心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（二）竞赛颁奖场地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安徽财经大学报告厅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十、技术规范（标准）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（一）参赛作品需为参赛者本人或团队创作的原创作品，每名参赛者交至组委会的作品数量至多4项。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（二）参赛作品内容需健康向上，弘扬社会主义主流价值观，具备一定的艺术性、观赏性、思想性。无色情、暴力、血腥、恶搞、低俗等不良内容，遵守国家法律法规。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（三）参赛作品要求画面清晰，文件为avi、mov、mp4、mpg等格式，接受720p、1080p、2k、4k的标准要求，最好设置中文字幕。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（四）</w:t>
      </w: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影视评论</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即对电影电视、综艺节目、影视现象进行评论，片目不限，字数不得少于600字。文字查重复制比不得超过15%，且未公开发表。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（五）</w:t>
      </w: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影视文学剧本</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仅限中文文学剧本，必须具有完整的剧本框架、长度和形式。上传剧本需包括片名页、故事大纲、人物简介和剧本正文。字数不做要求。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（六）为取得较好的展示效果，建议参赛者提供微电影宣传海报，规格为310px×220px(宽×高，横版)，文件为jpg/png格式。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十一、成绩评定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（一）评分标准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4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1、主题</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：紧扣主题、选材新颖、作品原创、故事线索要求清晰明了，内容充实、积极向上，表现一定的精神风貌。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4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2、创意：</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独具个性创意品位，有新颖的拍摄手法、有新鲜的线索编排、有明确的表达角度，从特别角度切入，深刻反映主题。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4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3、声画效果：</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画面美观生动、清晰、构图合理、镜头稳定，色彩搭配协调，不出现太亮或太暗的镜头，配音优美，搭配清晰，对应题材，声像协调同步，有表现力、感染力。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4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4、技术运用：</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字幕准确，制作技术运用巧妙，画面剪辑准确。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（二）评审流程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1、大赛初选：省内各高校自行组织校赛，每校参赛作品总数原则上不得超过30件。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2、专家复审：专家对推荐至省赛作品打分，每个类别得分前30%作品进入终评环节。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3、专家终评：入围作品满分100分，去掉最高分和最低分，计算所得平均分的高低，确定最终等级奖获奖作品名单。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十二、奖项设定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本赛项原则上共设置奖项240项，其中一等奖55名、二等奖80名、三等奖105名。具体情况如下表所示。</w:t>
      </w:r>
    </w:p>
    <w:tbl>
      <w:tblPr>
        <w:tblW w:w="91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85"/>
        <w:gridCol w:w="1985"/>
        <w:gridCol w:w="2126"/>
        <w:gridCol w:w="19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0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作品类别</w:t>
            </w:r>
          </w:p>
        </w:tc>
        <w:tc>
          <w:tcPr>
            <w:tcW w:w="19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一等奖</w:t>
            </w:r>
          </w:p>
        </w:tc>
        <w:tc>
          <w:tcPr>
            <w:tcW w:w="21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二等奖</w:t>
            </w:r>
          </w:p>
        </w:tc>
        <w:tc>
          <w:tcPr>
            <w:tcW w:w="198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三等奖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故事片</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15</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20</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纪录片</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15</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20</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动画片</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5</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10</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影视评论</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15</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20</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影视文学剧本</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5</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10</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小计</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55</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80</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lang w:val="en-US" w:eastAsia="zh-CN" w:bidi="ar"/>
              </w:rPr>
              <w:t>105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1、全省高校共计120所，原则上每所高校均有获奖机会，获奖率大致控制在30%左右。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2、初步设立优秀组织奖10项，优秀组织奖最终设定不超过入围决赛高校数的20%。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3、设立最佳指导教师奖55人，即五个单元一等奖获得者的第一指导教师。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rPr>
        <w:t>    4、 终审评委有权决定最终结果及奖项分配。所有组别累加在一起的一二三等奖项不超过入围省赛作品数（即以经过初选后的队伍数为基数）的10%、20%、30%。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十三、赛项安全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赛事安全是技能竞赛一切工作顺利开展的先决条件，是赛事筹备和运行工作必须考虑的核心问题。赛项组委会采取切实有效措施保证大赛期间参赛选手、指导教师、工作人员及观众的人身安全。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（一）比赛环境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1、选择走道比较通畅的观影空间组织电影观影活动。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2、选择具有观影条件的观影空间组织作品评选。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（二）生活条件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1、入围作品的作者原则上需要参加最终颁奖典礼。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2、终审承办单位为参加颁奖典礼的获奖作者办理餐宿手续。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3、落实新型冠状病毒感染实施“乙类乙管”后疫情防控要求，参赛人员要遵守基本行为准则，保持社交距离、咳嗽礼仪、清洁消毒等良好卫生习惯。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（三）组队责任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1、指导老师负责参赛作品的意识形态问题，确保意识形态安全；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2、获奖作品的指导老师负责获奖学生的交通出行安全，确保获奖学生的交通安全。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（四）应急处理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1、比赛期间发生意外事故，发现者应第一时间报告赛项组委会，同时采取措施避免事态扩大。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2、赛项秘书处应立即启动预案予以解决并上报大赛组委会。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3、赛项出现重大安全问题可以停赛，是否停赛由赛项组委会决定。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4、事后，赛项秘书处应向大赛组委会报告详细情况。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（五）处罚措施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1、对参赛作品内容违规者，将取消参赛资格。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2、对未经本校初赛，直接报送组委会的作品视为无效作品。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十四、参赛须知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（一）参赛队须知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1、每个学校以获奖作品为依据组建参加颁奖典礼的领奖团队。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2、每个获奖作品原则上至少有一名创作者代表参加颁奖典礼。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（二）指导教师须知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1、获奖作品的指导教师为每个领奖团队的领队，负责与承办单位联系，落实参加颁奖典礼和领奖事宜。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2、获得指导教师奖的指导教师原则上需要参加最终颁奖典礼。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（三）参赛选手须知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1、参赛学生须按照组委会要求办理参赛的相关事宜，服从管理。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2、获奖作品的学生原则上需要参加终评颁奖典礼。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（四）工作人员须知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1、工作人员必须按照组委会安排，各司其职。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2、遇到突发情况，应及时向组委会汇报并妥善处理。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十五、申诉与仲裁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（一）大赛设仲裁委员会，负责申诉与仲裁事宜。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（二）本赛项在评选过程中若出现有失公正或有关人员违规等现象，代表队领队可在比赛结束后2小时之内向仲裁委员会提出书面申诉。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（三）赛项仲裁委员会在接到申诉后的24小时内组织复议，并及时反馈复议结果。仲裁委员会的仲裁结果为最终结果。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十六、竞赛观摩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竞赛评选过程，媒体、企业代表、院校师生、家长等社会公众可通过线上方式进行观摩。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十七、竞赛录像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（一）评选现场部署无盲点录像设备，全程实时录制评选现场情况；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（二）多机位拍摄开闭幕式或颁奖典礼，将借助相关平台网上直播；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（三）注重视频资料的拍摄、收集与整理，为宣传、仲裁、资源转化提供全面的信息资料。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十八、竞赛宣传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（一）参赛作品将在安徽省大学生微电影大赛官方网站公示展播；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（二）参赛作品将借助相关平台展播，颁奖典礼网上直播；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（三）多机位拍摄开闭幕式，制作优秀选手采访、优秀指导教师采访、裁判专家点评和企业人士采访视频资料，突出赛项的技能重点与优势特色；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（四）在大赛举办现场大赛印发宣传册，张贴大赛海报；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（五）利用省市级电视台、网络与新媒体进行赛事宣传报道。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kern w:val="0"/>
          <w:sz w:val="32"/>
          <w:szCs w:val="32"/>
          <w:bdr w:val="none" w:color="auto" w:sz="0" w:space="0"/>
          <w:shd w:val="clear" w:fill="FFFFFF"/>
          <w:lang w:val="en-US" w:eastAsia="zh-CN" w:bidi="ar"/>
        </w:rPr>
        <w:t>十九、竞赛联系方式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竞赛官网：www.dayushuju.com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官方QQ群（指导教师）：495790957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官方QQ群（参赛学生）：762616068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联 系 人：江雪颖、居瑶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联系方式：15855216020、18055252556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邮    箱：</w:t>
      </w:r>
      <w:r>
        <w:rPr>
          <w:rFonts w:hint="default" w:ascii="仿宋_GB2312" w:hAnsi="微软雅黑" w:eastAsia="仿宋_GB2312" w:cs="仿宋_GB2312"/>
          <w:i w:val="0"/>
          <w:iCs w:val="0"/>
          <w:caps w:val="0"/>
          <w:color w:val="000000"/>
          <w:spacing w:val="0"/>
          <w:sz w:val="32"/>
          <w:szCs w:val="32"/>
          <w:bdr w:val="none" w:color="auto" w:sz="0" w:space="0"/>
          <w:shd w:val="clear" w:fill="FFFFFF"/>
          <w:vertAlign w:val="subscript"/>
        </w:rPr>
        <w:t>ahswdyds2023@163.com</w:t>
      </w:r>
      <w:r>
        <w:rPr>
          <w:rFonts w:hint="default" w:ascii="仿宋_GB2312" w:hAnsi="微软雅黑" w:eastAsia="仿宋_GB2312" w:cs="仿宋_GB2312"/>
          <w:i w:val="0"/>
          <w:iCs w:val="0"/>
          <w:caps w:val="0"/>
          <w:color w:val="333333"/>
          <w:spacing w:val="0"/>
          <w:sz w:val="24"/>
          <w:szCs w:val="24"/>
          <w:u w:val="none"/>
          <w:bdr w:val="none" w:color="auto" w:sz="0" w:space="0"/>
          <w:shd w:val="clear" w:fill="FFFFFF"/>
        </w:rPr>
        <w:fldChar w:fldCharType="begin"/>
      </w:r>
      <w:r>
        <w:rPr>
          <w:rFonts w:hint="default" w:ascii="仿宋_GB2312" w:hAnsi="微软雅黑" w:eastAsia="仿宋_GB2312" w:cs="仿宋_GB2312"/>
          <w:i w:val="0"/>
          <w:iCs w:val="0"/>
          <w:caps w:val="0"/>
          <w:color w:val="333333"/>
          <w:spacing w:val="0"/>
          <w:sz w:val="24"/>
          <w:szCs w:val="24"/>
          <w:u w:val="none"/>
          <w:bdr w:val="none" w:color="auto" w:sz="0" w:space="0"/>
          <w:shd w:val="clear" w:fill="FFFFFF"/>
        </w:rPr>
        <w:instrText xml:space="preserve"> HYPERLINK "mailto:ahsdxswdyds@126.com" </w:instrText>
      </w:r>
      <w:r>
        <w:rPr>
          <w:rFonts w:hint="default" w:ascii="仿宋_GB2312" w:hAnsi="微软雅黑" w:eastAsia="仿宋_GB2312" w:cs="仿宋_GB2312"/>
          <w:i w:val="0"/>
          <w:iCs w:val="0"/>
          <w:caps w:val="0"/>
          <w:color w:val="333333"/>
          <w:spacing w:val="0"/>
          <w:sz w:val="24"/>
          <w:szCs w:val="24"/>
          <w:u w:val="none"/>
          <w:bdr w:val="none" w:color="auto" w:sz="0" w:space="0"/>
          <w:shd w:val="clear" w:fill="FFFFFF"/>
        </w:rPr>
        <w:fldChar w:fldCharType="separate"/>
      </w:r>
      <w:r>
        <w:rPr>
          <w:rStyle w:val="5"/>
          <w:rFonts w:hint="default" w:ascii="仿宋_GB2312" w:hAnsi="微软雅黑" w:eastAsia="仿宋_GB2312" w:cs="仿宋_GB2312"/>
          <w:i w:val="0"/>
          <w:iCs w:val="0"/>
          <w:caps w:val="0"/>
          <w:color w:val="333333"/>
          <w:spacing w:val="0"/>
          <w:sz w:val="32"/>
          <w:szCs w:val="32"/>
          <w:u w:val="none"/>
          <w:bdr w:val="none" w:color="auto" w:sz="0" w:space="0"/>
          <w:shd w:val="clear" w:fill="FFFFFF"/>
        </w:rPr>
        <w:br w:type="textWrapping"/>
      </w:r>
      <w:r>
        <w:rPr>
          <w:rFonts w:hint="default" w:ascii="仿宋_GB2312" w:hAnsi="微软雅黑" w:eastAsia="仿宋_GB2312" w:cs="仿宋_GB2312"/>
          <w:i w:val="0"/>
          <w:iCs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sz w:val="32"/>
          <w:szCs w:val="32"/>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hAnsi="微软雅黑" w:eastAsia="仿宋_GB2312" w:cs="仿宋_GB2312"/>
          <w:i w:val="0"/>
          <w:iCs w:val="0"/>
          <w:caps w:val="0"/>
          <w:color w:val="333333"/>
          <w:spacing w:val="0"/>
          <w:sz w:val="32"/>
          <w:szCs w:val="32"/>
          <w:u w:val="none"/>
          <w:bdr w:val="none" w:color="auto" w:sz="0" w:space="0"/>
          <w:shd w:val="clear" w:fill="FFFFFF"/>
        </w:rPr>
        <w:fldChar w:fldCharType="begin"/>
      </w:r>
      <w:r>
        <w:rPr>
          <w:rFonts w:hint="default" w:ascii="仿宋_GB2312" w:hAnsi="微软雅黑" w:eastAsia="仿宋_GB2312" w:cs="仿宋_GB2312"/>
          <w:i w:val="0"/>
          <w:iCs w:val="0"/>
          <w:caps w:val="0"/>
          <w:color w:val="333333"/>
          <w:spacing w:val="0"/>
          <w:sz w:val="32"/>
          <w:szCs w:val="32"/>
          <w:u w:val="none"/>
          <w:bdr w:val="none" w:color="auto" w:sz="0" w:space="0"/>
          <w:shd w:val="clear" w:fill="FFFFFF"/>
        </w:rPr>
        <w:instrText xml:space="preserve"> HYPERLINK "http://jyt.ah.gov.cn/group3/M00/0D/47/wKg86mSnkkSAB3voAAA3R4BnSPE42.docx" \t "http://jyt.ah.gov.cn/tsdw/gdjyc/dxsxkhjnjs/_blank" </w:instrText>
      </w:r>
      <w:r>
        <w:rPr>
          <w:rFonts w:hint="default" w:ascii="仿宋_GB2312" w:hAnsi="微软雅黑" w:eastAsia="仿宋_GB2312" w:cs="仿宋_GB2312"/>
          <w:i w:val="0"/>
          <w:iCs w:val="0"/>
          <w:caps w:val="0"/>
          <w:color w:val="333333"/>
          <w:spacing w:val="0"/>
          <w:sz w:val="32"/>
          <w:szCs w:val="32"/>
          <w:u w:val="none"/>
          <w:bdr w:val="none" w:color="auto" w:sz="0" w:space="0"/>
          <w:shd w:val="clear" w:fill="FFFFFF"/>
        </w:rPr>
        <w:fldChar w:fldCharType="separate"/>
      </w:r>
      <w:r>
        <w:rPr>
          <w:rStyle w:val="5"/>
          <w:rFonts w:hint="default" w:ascii="仿宋_GB2312" w:hAnsi="微软雅黑" w:eastAsia="仿宋_GB2312" w:cs="仿宋_GB2312"/>
          <w:i w:val="0"/>
          <w:iCs w:val="0"/>
          <w:caps w:val="0"/>
          <w:color w:val="333333"/>
          <w:spacing w:val="0"/>
          <w:sz w:val="32"/>
          <w:szCs w:val="32"/>
          <w:u w:val="none"/>
          <w:bdr w:val="none" w:color="auto" w:sz="0" w:space="0"/>
          <w:shd w:val="clear" w:fill="FFFFFF"/>
        </w:rPr>
        <w:t>附件1：大赛报名表.docx</w:t>
      </w:r>
      <w:r>
        <w:rPr>
          <w:rFonts w:hint="default" w:ascii="仿宋_GB2312" w:hAnsi="微软雅黑" w:eastAsia="仿宋_GB2312" w:cs="仿宋_GB2312"/>
          <w:i w:val="0"/>
          <w:iCs w:val="0"/>
          <w:caps w:val="0"/>
          <w:color w:val="333333"/>
          <w:spacing w:val="0"/>
          <w:sz w:val="32"/>
          <w:szCs w:val="3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24"/>
          <w:szCs w:val="24"/>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方正仿宋_GBK" w:hAnsi="方正仿宋_GBK" w:eastAsia="方正仿宋_GBK" w:cs="方正仿宋_GBK"/>
          <w:i w:val="0"/>
          <w:iCs w:val="0"/>
          <w:caps w:val="0"/>
          <w:color w:val="333333"/>
          <w:spacing w:val="0"/>
          <w:sz w:val="24"/>
          <w:szCs w:val="24"/>
          <w:u w:val="none"/>
          <w:bdr w:val="none" w:color="auto" w:sz="0" w:space="0"/>
          <w:shd w:val="clear" w:fill="FFFFFF"/>
        </w:rPr>
        <w:fldChar w:fldCharType="begin"/>
      </w:r>
      <w:r>
        <w:rPr>
          <w:rFonts w:hint="default" w:ascii="方正仿宋_GBK" w:hAnsi="方正仿宋_GBK" w:eastAsia="方正仿宋_GBK" w:cs="方正仿宋_GBK"/>
          <w:i w:val="0"/>
          <w:iCs w:val="0"/>
          <w:caps w:val="0"/>
          <w:color w:val="333333"/>
          <w:spacing w:val="0"/>
          <w:sz w:val="24"/>
          <w:szCs w:val="24"/>
          <w:u w:val="none"/>
          <w:bdr w:val="none" w:color="auto" w:sz="0" w:space="0"/>
          <w:shd w:val="clear" w:fill="FFFFFF"/>
        </w:rPr>
        <w:instrText xml:space="preserve"> HYPERLINK "http://jyt.ah.gov.cn/group3/M00/0D/47/wKg86mSnklCAPKMoAABIlJfdJOk21.docx" \t "http://jyt.ah.gov.cn/tsdw/gdjyc/dxsxkhjnjs/_blank" </w:instrText>
      </w:r>
      <w:r>
        <w:rPr>
          <w:rFonts w:hint="default" w:ascii="方正仿宋_GBK" w:hAnsi="方正仿宋_GBK" w:eastAsia="方正仿宋_GBK" w:cs="方正仿宋_GBK"/>
          <w:i w:val="0"/>
          <w:iCs w:val="0"/>
          <w:caps w:val="0"/>
          <w:color w:val="333333"/>
          <w:spacing w:val="0"/>
          <w:sz w:val="24"/>
          <w:szCs w:val="24"/>
          <w:u w:val="none"/>
          <w:bdr w:val="none" w:color="auto" w:sz="0" w:space="0"/>
          <w:shd w:val="clear" w:fill="FFFFFF"/>
        </w:rPr>
        <w:fldChar w:fldCharType="separate"/>
      </w:r>
      <w:r>
        <w:rPr>
          <w:rStyle w:val="5"/>
          <w:rFonts w:hint="default" w:ascii="方正仿宋_GBK" w:hAnsi="方正仿宋_GBK" w:eastAsia="方正仿宋_GBK" w:cs="方正仿宋_GBK"/>
          <w:i w:val="0"/>
          <w:iCs w:val="0"/>
          <w:caps w:val="0"/>
          <w:color w:val="333333"/>
          <w:spacing w:val="0"/>
          <w:sz w:val="32"/>
          <w:szCs w:val="32"/>
          <w:u w:val="none"/>
          <w:bdr w:val="none" w:color="auto" w:sz="0" w:space="0"/>
          <w:shd w:val="clear" w:fill="FFFFFF"/>
        </w:rPr>
        <w:t>附件2：高校报送作品汇总表.docx</w:t>
      </w:r>
      <w:r>
        <w:rPr>
          <w:rFonts w:hint="default" w:ascii="方正仿宋_GBK" w:hAnsi="方正仿宋_GBK" w:eastAsia="方正仿宋_GBK" w:cs="方正仿宋_GBK"/>
          <w:i w:val="0"/>
          <w:iCs w:val="0"/>
          <w:caps w:val="0"/>
          <w:color w:val="333333"/>
          <w:spacing w:val="0"/>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MTI1ZmNiMzY5N2E4YmJkZjA2ZTNlMTc5OGY5N2UifQ=="/>
  </w:docVars>
  <w:rsids>
    <w:rsidRoot w:val="00000000"/>
    <w:rsid w:val="624F1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2023-09-19T07:57:39Z</dcterms:created>
  <dc:creator>jm</dc:creator>
  <cp:lastModifiedBy>木点王子</cp:lastModifiedBy>
  <dcterms:modified xsi:type="dcterms:W3CDTF">2023-09-19T07:57:51Z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DCB6D08EEED64E18BBB40A21C31F41C7_12</vt:lpwstr>
  </property>
</Properties>
</file>